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-73660</wp:posOffset>
            </wp:positionV>
            <wp:extent cx="4053205" cy="5177155"/>
            <wp:effectExtent l="0" t="0" r="4445" b="4445"/>
            <wp:wrapNone/>
            <wp:docPr id="2" name="图片 2" descr="bbcc1c71127c082a398ede01bb61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cc1c71127c082a398ede01bb61b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Main technical parameters of the product:</w:t>
      </w:r>
    </w:p>
    <w:p>
      <w:pPr>
        <w:bidi w:val="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Light Source:</w:t>
      </w:r>
    </w:p>
    <w:p>
      <w:pPr>
        <w:bidi w:val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Bulb Specification: Philips MSD Silver 380W/2 LL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Color temperature: 7800K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Rated life: 4000 hours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color: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3color wheels  12colors+ OpenWhite (Including: CTO 3500K &amp; UV)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Full CMY Color Mixing</w:t>
      </w:r>
      <w:bookmarkStart w:id="0" w:name="_GoBack"/>
      <w:bookmarkEnd w:id="0"/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GOBOs:</w:t>
      </w:r>
    </w:p>
    <w:p>
      <w:pPr>
        <w:bidi w:val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GOBO Wheel 1:  10Fixed + Open (1 Beam Reducers Beam Mode)</w:t>
      </w:r>
    </w:p>
    <w:p>
      <w:pPr>
        <w:bidi w:val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 xml:space="preserve"> GOBO Wheel 2: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 xml:space="preserve">Rotating/Replaceable + Open (Size: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 xml:space="preserve">mm; Viewable: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11.5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mm)</w:t>
      </w:r>
    </w:p>
    <w:p>
      <w:pPr>
        <w:bidi w:val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 xml:space="preserve"> Modular design for easy servicing and GOBO replacement</w:t>
      </w:r>
    </w:p>
    <w:p>
      <w:pPr>
        <w:bidi w:val="0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Effects: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Prism: 1 8 prism,1 16 prism can be quickly cut in, cut out. It can be rotated in two directions with variable speed Two prisms can be stacked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Atomization: 1 single-sided high-transmission atomized lens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focusing: DMX linear focus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Strobe:Independent dual-chip. 0-15 times/second ultra-high-speed strobe. 0-100% linear dimming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Dimming: Linear Dimming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Zoom Range: 2 ~ 45-degrees</w:t>
      </w: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Control: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Rotation angle: 540° in the horizontal direction, 270° in the vertical direction, with automatic return function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Control Channels: 21, 24 or 26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DMX Modes: 2, RDM (Remote Device Management)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Control: 3-pin 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Full color display menu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Pan/Tilt Speed: Fast to Slow</w:t>
      </w: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Electrical: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Input voltage: 110V~240V AC, 50/60Hz(Auto Sensing)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Daisy chain max: 3 fixtures (@120V); 5 fixtures (@230V)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Power Draw: 500W (4.71A @ 120V; 2.26A @ 220V)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cooling system: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Equipped with 9 cooling fans. After the bubble is eliminated for one minute, the fan will enter the silent cooling mode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Other functions:</w:t>
      </w:r>
    </w:p>
    <w:p>
      <w:pPr>
        <w:bidi w:val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Display lamp, bulb usage time. Remote control bulb switch function,Fault detection reminder, manual lock screen.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Shell and protection grade: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Aluminum, high temperature/UV resistant engineering plastic, protection grade IP20 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Dimensions/Weight:</w:t>
      </w:r>
    </w:p>
    <w:p>
      <w:pPr>
        <w:bidi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Dimensions (LxWxH): 14.8” x 11.6” x 23.5” / 382 x 299 x 603mm </w:t>
      </w:r>
    </w:p>
    <w:p>
      <w:pPr>
        <w:bidi w:val="0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Weight:  45 lbs. / 20.5 kg.  </w:t>
      </w:r>
    </w:p>
    <w:p/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920"/>
        <w:tab w:val="left" w:pos="9841"/>
        <w:tab w:val="clear" w:pos="4153"/>
        <w:tab w:val="clear" w:pos="8306"/>
      </w:tabs>
      <w:rPr>
        <w:rFonts w:hint="default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231E"/>
    <w:rsid w:val="29BE5F51"/>
    <w:rsid w:val="33E86FBE"/>
    <w:rsid w:val="34163DAC"/>
    <w:rsid w:val="60BD40B0"/>
    <w:rsid w:val="64CE7FBE"/>
    <w:rsid w:val="64F027E8"/>
    <w:rsid w:val="670A4F78"/>
    <w:rsid w:val="6BD73727"/>
    <w:rsid w:val="7EA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1478</Characters>
  <Lines>0</Lines>
  <Paragraphs>0</Paragraphs>
  <TotalTime>302</TotalTime>
  <ScaleCrop>false</ScaleCrop>
  <LinksUpToDate>false</LinksUpToDate>
  <CharactersWithSpaces>1712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2021-11-25T00:52:00Z</dcterms:created>
  <dc:creator>86159</dc:creator>
  <cp:lastModifiedBy>罗 Gleelite Eric</cp:lastModifiedBy>
  <dcterms:modified xsi:type="dcterms:W3CDTF">2022-07-18T14:44:09Z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